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La 2ème session « Ecole Chercheurs sur Foncier » se tient ces 31 mars et 01 avril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30 mars 2022</w:t>
      </w:r>
    </w:p>
    <w:p w:rsidR="00000000" w:rsidDel="00000000" w:rsidP="00000000" w:rsidRDefault="00000000" w:rsidRPr="00000000" w14:paraId="00000003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Agenda : Mercredi 30 mars 2022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La 2ème session de formation et d’échanges « école chercheurs foncier » se tient les 31 mars et 1er avril 2022, en ligne et en présentiel à l’Université Gaston Berger de Saint Louis et à l’IPAR à Dakar.</w:t>
      </w:r>
    </w:p>
    <w:p w:rsidR="00000000" w:rsidDel="00000000" w:rsidP="00000000" w:rsidRDefault="00000000" w:rsidRPr="00000000" w14:paraId="00000005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En plus des participants sénégalais, les sessions « école chercheurs sur le foncier » enregistrent la participation d’étudiants et chercheurs maliens, malgaches, algériens, mais aussi des universités partenaires, notamment de Ziguinchor, Bambey, Thiès et Saint-Louis.</w:t>
      </w:r>
    </w:p>
    <w:p w:rsidR="00000000" w:rsidDel="00000000" w:rsidP="00000000" w:rsidRDefault="00000000" w:rsidRPr="00000000" w14:paraId="00000006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Porté par IPAR, le Pôle Foncier de Montpellier, en collaboration avec l’Université Gaston Berger de Saint-Louis et la Plateforme nationale sur la gouvernance foncière au Sénégal, ce projet soutenu financièrement par IPAR, AFD et PROCASEF/BM, vise à favoriser le développement de recherches approfondies sur les transactions et les marchés fonciers ruraux, au Sénégal et plus largement en Afrique.</w:t>
      </w:r>
    </w:p>
    <w:p w:rsidR="00000000" w:rsidDel="00000000" w:rsidP="00000000" w:rsidRDefault="00000000" w:rsidRPr="00000000" w14:paraId="00000007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Il s’agit plus spécifiquement de renforcer les capacités sénégalaises - individuelles et collectives - de recherche et de formation sur ce sujet, en mobilisant les acquis de la recherche dans la sous-région, en termes de méthodes et de résultats.</w:t>
      </w:r>
    </w:p>
    <w:p w:rsidR="00000000" w:rsidDel="00000000" w:rsidP="00000000" w:rsidRDefault="00000000" w:rsidRPr="00000000" w14:paraId="00000008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Reposant sur une approche de développement de compétences, elle s’adresse à la fois à des enseignants chercheurs des principales universités et centres de recherche sénégalais, à des doctorants dont la thèse comprend explicitement une recherche engagée sur le sujet, à des acteurs de la société civile et des professionnels travaillant sur ces questions. Elle est également ouverte à des chercheurs de la sous-région.</w:t>
      </w:r>
    </w:p>
    <w:p w:rsidR="00000000" w:rsidDel="00000000" w:rsidP="00000000" w:rsidRDefault="00000000" w:rsidRPr="00000000" w14:paraId="00000009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rtl w:val="0"/>
        </w:rPr>
        <w:t xml:space="preserve">Cette session du 31 mars et 01 avril portera sur 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120" w:lineRule="auto"/>
        <w:ind w:left="1020" w:hanging="360"/>
        <w:rPr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Les marchés fonciers ruraux en Afrique de l’Ouest : expérience et leçons apprises des autres pays de l’Afrique de l’ouest 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120" w:lineRule="auto"/>
        <w:ind w:left="1020" w:hanging="360"/>
        <w:rPr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Les transactions foncières en milieu rural et péri-urbain, quelques questions de recherche 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120" w:lineRule="auto"/>
        <w:ind w:left="1020" w:hanging="360"/>
        <w:rPr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Sécurité, insécurité, stratégies de formalisation des transactions Les dispositifs semi-formels et les pratiques administratives 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120" w:lineRule="auto"/>
        <w:ind w:left="1020" w:hanging="360"/>
        <w:rPr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Les marchés fonciers face aux politiques publiques : équité et efficacité économique, sécurité, enjeux de régulation</w:t>
      </w:r>
    </w:p>
    <w:p w:rsidR="00000000" w:rsidDel="00000000" w:rsidP="00000000" w:rsidRDefault="00000000" w:rsidRPr="00000000" w14:paraId="0000000E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(</w:t>
      </w:r>
      <w:r w:rsidDel="00000000" w:rsidR="00000000" w:rsidRPr="00000000">
        <w:rPr>
          <w:rFonts w:ascii="inherit" w:cs="inherit" w:eastAsia="inherit" w:hAnsi="inherit"/>
          <w:i w:val="1"/>
          <w:color w:val="222222"/>
          <w:rtl w:val="0"/>
        </w:rPr>
        <w:t xml:space="preserve"> </w:t>
      </w:r>
      <w:r w:rsidDel="00000000" w:rsidR="00000000" w:rsidRPr="00000000">
        <w:rPr>
          <w:rFonts w:ascii="inherit" w:cs="inherit" w:eastAsia="inherit" w:hAnsi="inherit"/>
          <w:b w:val="1"/>
          <w:i w:val="1"/>
          <w:color w:val="222222"/>
          <w:rtl w:val="0"/>
        </w:rPr>
        <w:t xml:space="preserve">ici</w:t>
      </w:r>
      <w:r w:rsidDel="00000000" w:rsidR="00000000" w:rsidRPr="00000000">
        <w:rPr>
          <w:rFonts w:ascii="inherit" w:cs="inherit" w:eastAsia="inherit" w:hAnsi="inherit"/>
          <w:i w:val="1"/>
          <w:color w:val="222222"/>
          <w:rtl w:val="0"/>
        </w:rPr>
        <w:t xml:space="preserve"> </w:t>
      </w: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) </w:t>
      </w:r>
      <w:hyperlink r:id="rId6">
        <w:r w:rsidDel="00000000" w:rsidR="00000000" w:rsidRPr="00000000">
          <w:rPr>
            <w:rFonts w:ascii="inherit" w:cs="inherit" w:eastAsia="inherit" w:hAnsi="inherit"/>
            <w:b w:val="1"/>
            <w:color w:val="52bdec"/>
            <w:rtl w:val="0"/>
          </w:rPr>
          <w:t xml:space="preserve">Lien d’inscription pour participer à la session</w:t>
        </w:r>
      </w:hyperlink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 ; </w:t>
      </w:r>
      <w:r w:rsidDel="00000000" w:rsidR="00000000" w:rsidRPr="00000000">
        <w:rPr>
          <w:rFonts w:ascii="inherit" w:cs="inherit" w:eastAsia="inherit" w:hAnsi="inherit"/>
          <w:b w:val="1"/>
          <w:color w:val="222222"/>
          <w:rtl w:val="0"/>
        </w:rPr>
        <w:t xml:space="preserve">Veuillez noter que les horaires sont UTC </w:t>
      </w: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 :</w:t>
        <w:br w:type="textWrapping"/>
      </w:r>
      <w:r w:rsidDel="00000000" w:rsidR="00000000" w:rsidRPr="00000000">
        <w:rPr>
          <w:rFonts w:ascii="inherit" w:cs="inherit" w:eastAsia="inherit" w:hAnsi="inherit"/>
          <w:i w:val="1"/>
          <w:color w:val="222222"/>
          <w:rtl w:val="0"/>
        </w:rPr>
        <w:t xml:space="preserve">Après votre inscription, vous recevrez un e-mail de confirmation contenant les instructions pour rejoindre la réunion</w:t>
      </w: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52bdec"/>
        </w:rPr>
        <w:drawing>
          <wp:inline distB="0" distT="0" distL="0" distR="0">
            <wp:extent cx="4753610" cy="889381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53610" cy="8893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Pour toute information - </w:t>
      </w:r>
      <w:hyperlink r:id="rId8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Ndéye Yandé Ndiaye Bodian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4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Appel à candidatures « école-chercheurs foncier » Thème : Etudier et comprendre les transactions foncières en milieu rural au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hyperlink r:id="rId12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3" name="image5.jpg"/>
              <a:graphic>
                <a:graphicData uri="http://schemas.openxmlformats.org/drawingml/2006/picture">
                  <pic:pic>
                    <pic:nvPicPr>
                      <pic:cNvPr id="0" name="image5.jpg"/>
                      <pic:cNvPicPr preferRelativeResize="0"/>
                    </pic:nvPicPr>
                    <pic:blipFill>
                      <a:blip r:embed="rId1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4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chercheurs sur Foncier : Un partenariat IPAR-UGB et Pole foncier sur les transactions et marchés fonciers ruraux au Sénégal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6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Ecole chercheur sur le foncier : session de terrain à Saint Louis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hyperlink r:id="rId18">
        <w:r w:rsidDel="00000000" w:rsidR="00000000" w:rsidRPr="00000000">
          <w:rPr>
            <w:rFonts w:ascii="Source Sans Pro" w:cs="Source Sans Pro" w:eastAsia="Source Sans Pro" w:hAnsi="Source Sans Pro"/>
            <w:color w:val="005689"/>
          </w:rPr>
          <w:drawing>
            <wp:inline distB="0" distT="0" distL="0" distR="0">
              <wp:extent cx="1524000" cy="889000"/>
              <wp:effectExtent b="0" l="0" r="0" t="0"/>
              <wp:docPr id="5" name="image6.jpg"/>
              <a:graphic>
                <a:graphicData uri="http://schemas.openxmlformats.org/drawingml/2006/picture">
                  <pic:pic>
                    <pic:nvPicPr>
                      <pic:cNvPr id="0" name="image6.jpg"/>
                      <pic:cNvPicPr preferRelativeResize="0"/>
                    </pic:nvPicPr>
                    <pic:blipFill>
                      <a:blip r:embed="rId1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0">
        <w:r w:rsidDel="00000000" w:rsidR="00000000" w:rsidRPr="00000000">
          <w:rPr>
            <w:rFonts w:ascii="Source Sans Pro" w:cs="Source Sans Pro" w:eastAsia="Source Sans Pro" w:hAnsi="Source Sans Pro"/>
            <w:color w:val="005689"/>
            <w:u w:val="single"/>
            <w:rtl w:val="0"/>
          </w:rPr>
          <w:t xml:space="preserve">Ecole chercheurs sur les transactions foncières : les étudiants-chercheurs initiés à la méthodologie de recherche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ind w:left="720" w:hanging="360"/>
        <w:rPr>
          <w:color w:val="222222"/>
        </w:rPr>
      </w:pPr>
      <w:hyperlink r:id="rId21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4000" cy="889000"/>
              <wp:effectExtent b="0" l="0" r="0" t="0"/>
              <wp:docPr id="1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2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4000" cy="889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23">
        <w:r w:rsidDel="00000000" w:rsidR="00000000" w:rsidRPr="00000000">
          <w:rPr>
            <w:rFonts w:ascii="Source Sans Pro" w:cs="Source Sans Pro" w:eastAsia="Source Sans Pro" w:hAnsi="Source Sans Pro"/>
            <w:color w:val="52bdec"/>
            <w:rtl w:val="0"/>
          </w:rPr>
          <w:t xml:space="preserve">Étude exploratoire sur les transactions et les marchés fonciers en zone péri urbaine autour de 5 villages de la commune de Ndiebene Gandiol.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par.sn/Ecole-chercheurs-sur-les-transactions-foncieres-les-etudiants-chercheurs.html" TargetMode="External"/><Relationship Id="rId11" Type="http://schemas.openxmlformats.org/officeDocument/2006/relationships/hyperlink" Target="https://www.ipar.sn/Appel-a-candidatures-ecole-chercheurs-foncier-Theme-Etudier-et-comprendre-les.html" TargetMode="External"/><Relationship Id="rId22" Type="http://schemas.openxmlformats.org/officeDocument/2006/relationships/image" Target="media/image3.jpg"/><Relationship Id="rId10" Type="http://schemas.openxmlformats.org/officeDocument/2006/relationships/image" Target="media/image2.jpg"/><Relationship Id="rId21" Type="http://schemas.openxmlformats.org/officeDocument/2006/relationships/hyperlink" Target="https://www.ipar.sn/Etude-exploratoire-sur-les-transactions-et-les-marches-fonciers-en-zone-peri.html" TargetMode="External"/><Relationship Id="rId13" Type="http://schemas.openxmlformats.org/officeDocument/2006/relationships/image" Target="media/image5.jpg"/><Relationship Id="rId12" Type="http://schemas.openxmlformats.org/officeDocument/2006/relationships/hyperlink" Target="https://www.ipar.sn/Ecole-chercheurs-sur-Foncier-Un-partenariat-IPAR-UGB-et-Pole-foncier-sur-les.html" TargetMode="External"/><Relationship Id="rId23" Type="http://schemas.openxmlformats.org/officeDocument/2006/relationships/hyperlink" Target="https://www.ipar.sn/Etude-exploratoire-sur-les-transactions-et-les-marches-fonciers-en-zone-peri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par.sn/Appel-a-candidatures-ecole-chercheurs-foncier-Theme-Etudier-et-comprendre-les.html" TargetMode="External"/><Relationship Id="rId15" Type="http://schemas.openxmlformats.org/officeDocument/2006/relationships/hyperlink" Target="https://www.ipar.sn/Ecole-chercheur-sur-le-foncier-session-de-terrain-a-Saint-Louis.html" TargetMode="External"/><Relationship Id="rId14" Type="http://schemas.openxmlformats.org/officeDocument/2006/relationships/hyperlink" Target="https://www.ipar.sn/Ecole-chercheurs-sur-Foncier-Un-partenariat-IPAR-UGB-et-Pole-foncier-sur-les.html" TargetMode="External"/><Relationship Id="rId17" Type="http://schemas.openxmlformats.org/officeDocument/2006/relationships/hyperlink" Target="https://www.ipar.sn/Ecole-chercheur-sur-le-foncier-session-de-terrain-a-Saint-Louis.html" TargetMode="External"/><Relationship Id="rId16" Type="http://schemas.openxmlformats.org/officeDocument/2006/relationships/image" Target="media/image1.jpg"/><Relationship Id="rId5" Type="http://schemas.openxmlformats.org/officeDocument/2006/relationships/styles" Target="styles.xml"/><Relationship Id="rId19" Type="http://schemas.openxmlformats.org/officeDocument/2006/relationships/image" Target="media/image6.jpg"/><Relationship Id="rId6" Type="http://schemas.openxmlformats.org/officeDocument/2006/relationships/hyperlink" Target="https://us06web.zoom.us/meeting/register/tJYrdO6gqTsvHNRCPZKQHYUrLfqYM0wSBm07" TargetMode="External"/><Relationship Id="rId18" Type="http://schemas.openxmlformats.org/officeDocument/2006/relationships/hyperlink" Target="https://www.ipar.sn/Ecole-chercheurs-sur-les-transactions-foncieres-les-etudiants-chercheurs.html" TargetMode="External"/><Relationship Id="rId7" Type="http://schemas.openxmlformats.org/officeDocument/2006/relationships/image" Target="media/image4.png"/><Relationship Id="rId8" Type="http://schemas.openxmlformats.org/officeDocument/2006/relationships/hyperlink" Target="mailto:ndiayemameyande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