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Publié le 15 décembre 2022</w:t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Réunion des partenaires de plaidoyer sur l’assainissement de la FBMG.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IPAR en collaboration avec SUA et Niyel, a partagé les résultats obtenus dans le projet WASPA mais aussi le rôle de la recherche dans la mise en œuvre des stratégies de plaidoyer. La réunion a lieu au Kenya du 28 au 30 Novembre 2022.</w:t>
        <w:br w:type="textWrapping"/>
        <w:t xml:space="preserve">Objectif général de la réunion : Faciliter l’alignement et le réseautage soutenus des partenaires de la FBMG</w:t>
        <w:br w:type="textWrapping"/>
        <w:t xml:space="preserve">Objectifs spécifiques :</w:t>
        <w:br w:type="textWrapping"/>
        <w:t xml:space="preserve"> Partage d’informations entre les partenaires Apprentissage : Partager les leçons apprises des organisations, passer en revue les sujets critiques et explorer les lacunes pour parvenir à une réforme efficace et inclusive des politiques d’assainissement. Perfectionnement : Identifier les opportunités pour affiner les approches de mise en œuvre des activités des partenaires afin d’optimiser l’impact.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