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Les lauréats du prix AgriData édition Jacques Faye 2021/2022</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23 avril 2022</w:t>
      </w:r>
    </w:p>
    <w:p w:rsidR="00000000" w:rsidDel="00000000" w:rsidP="00000000" w:rsidRDefault="00000000" w:rsidRPr="00000000" w14:paraId="00000003">
      <w:pPr>
        <w:shd w:fill="ffffff" w:val="clear"/>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Le comité scientifique du Prix AgriData pour le développement agricole durable au Sénégal a publié ce vendredi 22 avril 2022 la liste des lauréats de cette 1ère édition dédiée au </w:t>
      </w:r>
      <w:hyperlink r:id="rId6">
        <w:r w:rsidDel="00000000" w:rsidR="00000000" w:rsidRPr="00000000">
          <w:rPr>
            <w:rFonts w:ascii="Source Sans Pro" w:cs="Source Sans Pro" w:eastAsia="Source Sans Pro" w:hAnsi="Source Sans Pro"/>
            <w:color w:val="52bdec"/>
            <w:sz w:val="25"/>
            <w:szCs w:val="25"/>
            <w:u w:val="single"/>
            <w:rtl w:val="0"/>
          </w:rPr>
          <w:t xml:space="preserve">Dr Jacques FAYE</w:t>
        </w:r>
      </w:hyperlink>
      <w:r w:rsidDel="00000000" w:rsidR="00000000" w:rsidRPr="00000000">
        <w:rPr>
          <w:rtl w:val="0"/>
        </w:rPr>
      </w:r>
    </w:p>
    <w:p w:rsidR="00000000" w:rsidDel="00000000" w:rsidP="00000000" w:rsidRDefault="00000000" w:rsidRPr="00000000" w14:paraId="00000004">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Pour la catégorie Etudiants/ Chercheurs :</w:t>
      </w:r>
    </w:p>
    <w:p w:rsidR="00000000" w:rsidDel="00000000" w:rsidP="00000000" w:rsidRDefault="00000000" w:rsidRPr="00000000" w14:paraId="00000005">
      <w:pPr>
        <w:numPr>
          <w:ilvl w:val="0"/>
          <w:numId w:val="3"/>
        </w:numPr>
        <w:shd w:fill="ffffff" w:val="clear"/>
        <w:ind w:left="1020" w:hanging="360"/>
        <w:rPr>
          <w:color w:val="222222"/>
        </w:rPr>
      </w:pPr>
      <w:r w:rsidDel="00000000" w:rsidR="00000000" w:rsidRPr="00000000">
        <w:rPr>
          <w:rFonts w:ascii="inherit" w:cs="inherit" w:eastAsia="inherit" w:hAnsi="inherit"/>
          <w:b w:val="1"/>
          <w:color w:val="222222"/>
          <w:rtl w:val="0"/>
        </w:rPr>
        <w:t xml:space="preserve">1er Prix</w:t>
      </w:r>
      <w:r w:rsidDel="00000000" w:rsidR="00000000" w:rsidRPr="00000000">
        <w:rPr>
          <w:rFonts w:ascii="Source Sans Pro" w:cs="Source Sans Pro" w:eastAsia="Source Sans Pro" w:hAnsi="Source Sans Pro"/>
          <w:color w:val="222222"/>
          <w:rtl w:val="0"/>
        </w:rPr>
        <w:t xml:space="preserve"> est décerné à l’article : « </w:t>
      </w:r>
      <w:r w:rsidDel="00000000" w:rsidR="00000000" w:rsidRPr="00000000">
        <w:rPr>
          <w:rFonts w:ascii="inherit" w:cs="inherit" w:eastAsia="inherit" w:hAnsi="inherit"/>
          <w:b w:val="1"/>
          <w:color w:val="222222"/>
          <w:rtl w:val="0"/>
        </w:rPr>
        <w:t xml:space="preserve"> </w:t>
      </w:r>
      <w:r w:rsidDel="00000000" w:rsidR="00000000" w:rsidRPr="00000000">
        <w:rPr>
          <w:rFonts w:ascii="inherit" w:cs="inherit" w:eastAsia="inherit" w:hAnsi="inherit"/>
          <w:b w:val="1"/>
          <w:i w:val="1"/>
          <w:color w:val="222222"/>
          <w:rtl w:val="0"/>
        </w:rPr>
        <w:t xml:space="preserve">Évolution des Politiques agricoles au Sénégal de 2000 à 2019 : une analyse sur l’efficacité des programmes et projets</w:t>
      </w:r>
      <w:r w:rsidDel="00000000" w:rsidR="00000000" w:rsidRPr="00000000">
        <w:rPr>
          <w:rFonts w:ascii="inherit" w:cs="inherit" w:eastAsia="inherit" w:hAnsi="inherit"/>
          <w:b w:val="1"/>
          <w:color w:val="222222"/>
          <w:rtl w:val="0"/>
        </w:rPr>
        <w:t xml:space="preserve"> </w:t>
      </w:r>
      <w:r w:rsidDel="00000000" w:rsidR="00000000" w:rsidRPr="00000000">
        <w:rPr>
          <w:rFonts w:ascii="Source Sans Pro" w:cs="Source Sans Pro" w:eastAsia="Source Sans Pro" w:hAnsi="Source Sans Pro"/>
          <w:color w:val="222222"/>
          <w:rtl w:val="0"/>
        </w:rPr>
        <w:t xml:space="preserve"> », soumis par le binôme Abdou Ndiaye Diop, chercheur en économie agricole au laboratoire LARES de l’université Gaston Berger et Cheikh Gueye, élève ingénieur statisticien économiste à l’ENSAE-Dakar ;</w:t>
      </w:r>
    </w:p>
    <w:p w:rsidR="00000000" w:rsidDel="00000000" w:rsidP="00000000" w:rsidRDefault="00000000" w:rsidRPr="00000000" w14:paraId="00000006">
      <w:pPr>
        <w:numPr>
          <w:ilvl w:val="0"/>
          <w:numId w:val="4"/>
        </w:numPr>
        <w:shd w:fill="ffffff" w:val="clear"/>
        <w:ind w:left="1020" w:hanging="360"/>
        <w:rPr>
          <w:color w:val="222222"/>
        </w:rPr>
      </w:pPr>
      <w:r w:rsidDel="00000000" w:rsidR="00000000" w:rsidRPr="00000000">
        <w:rPr>
          <w:rFonts w:ascii="inherit" w:cs="inherit" w:eastAsia="inherit" w:hAnsi="inherit"/>
          <w:b w:val="1"/>
          <w:color w:val="222222"/>
          <w:rtl w:val="0"/>
        </w:rPr>
        <w:t xml:space="preserve">2eme prix</w:t>
      </w:r>
      <w:r w:rsidDel="00000000" w:rsidR="00000000" w:rsidRPr="00000000">
        <w:rPr>
          <w:rFonts w:ascii="Source Sans Pro" w:cs="Source Sans Pro" w:eastAsia="Source Sans Pro" w:hAnsi="Source Sans Pro"/>
          <w:color w:val="222222"/>
          <w:rtl w:val="0"/>
        </w:rPr>
        <w:t xml:space="preserve"> à l’article : « </w:t>
      </w:r>
      <w:r w:rsidDel="00000000" w:rsidR="00000000" w:rsidRPr="00000000">
        <w:rPr>
          <w:rFonts w:ascii="inherit" w:cs="inherit" w:eastAsia="inherit" w:hAnsi="inherit"/>
          <w:b w:val="1"/>
          <w:color w:val="222222"/>
          <w:rtl w:val="0"/>
        </w:rPr>
        <w:t xml:space="preserve"> </w:t>
      </w:r>
      <w:r w:rsidDel="00000000" w:rsidR="00000000" w:rsidRPr="00000000">
        <w:rPr>
          <w:rFonts w:ascii="inherit" w:cs="inherit" w:eastAsia="inherit" w:hAnsi="inherit"/>
          <w:b w:val="1"/>
          <w:i w:val="1"/>
          <w:color w:val="222222"/>
          <w:rtl w:val="0"/>
        </w:rPr>
        <w:t xml:space="preserve">Qui sont les acteurs du développement agricole durable sénégalais ?</w:t>
      </w:r>
      <w:r w:rsidDel="00000000" w:rsidR="00000000" w:rsidRPr="00000000">
        <w:rPr>
          <w:rFonts w:ascii="inherit" w:cs="inherit" w:eastAsia="inherit" w:hAnsi="inherit"/>
          <w:b w:val="1"/>
          <w:color w:val="222222"/>
          <w:rtl w:val="0"/>
        </w:rPr>
        <w:t xml:space="preserve"> </w:t>
      </w:r>
      <w:r w:rsidDel="00000000" w:rsidR="00000000" w:rsidRPr="00000000">
        <w:rPr>
          <w:rFonts w:ascii="Source Sans Pro" w:cs="Source Sans Pro" w:eastAsia="Source Sans Pro" w:hAnsi="Source Sans Pro"/>
          <w:color w:val="222222"/>
          <w:rtl w:val="0"/>
        </w:rPr>
        <w:t xml:space="preserve"> », par Iphigénie Sarr et Will Steven Kathema, deux jeunes ingénieurs statisticiens économistes en fin de formation à l’ENSAE (les ambassadeurs verts du Sénégal).</w:t>
      </w:r>
    </w:p>
    <w:p w:rsidR="00000000" w:rsidDel="00000000" w:rsidP="00000000" w:rsidRDefault="00000000" w:rsidRPr="00000000" w14:paraId="00000007">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Pour la catégorie journalistes :</w:t>
      </w:r>
    </w:p>
    <w:p w:rsidR="00000000" w:rsidDel="00000000" w:rsidP="00000000" w:rsidRDefault="00000000" w:rsidRPr="00000000" w14:paraId="00000008">
      <w:pPr>
        <w:numPr>
          <w:ilvl w:val="0"/>
          <w:numId w:val="5"/>
        </w:numPr>
        <w:shd w:fill="ffffff" w:val="clear"/>
        <w:ind w:left="1020" w:hanging="360"/>
        <w:rPr>
          <w:color w:val="222222"/>
        </w:rPr>
      </w:pPr>
      <w:r w:rsidDel="00000000" w:rsidR="00000000" w:rsidRPr="00000000">
        <w:rPr>
          <w:rFonts w:ascii="inherit" w:cs="inherit" w:eastAsia="inherit" w:hAnsi="inherit"/>
          <w:b w:val="1"/>
          <w:color w:val="222222"/>
          <w:rtl w:val="0"/>
        </w:rPr>
        <w:t xml:space="preserve">1er Prix</w:t>
      </w:r>
      <w:r w:rsidDel="00000000" w:rsidR="00000000" w:rsidRPr="00000000">
        <w:rPr>
          <w:rFonts w:ascii="Source Sans Pro" w:cs="Source Sans Pro" w:eastAsia="Source Sans Pro" w:hAnsi="Source Sans Pro"/>
          <w:color w:val="222222"/>
          <w:rtl w:val="0"/>
        </w:rPr>
        <w:t xml:space="preserve"> à la publication ; « </w:t>
      </w:r>
      <w:r w:rsidDel="00000000" w:rsidR="00000000" w:rsidRPr="00000000">
        <w:rPr>
          <w:rFonts w:ascii="inherit" w:cs="inherit" w:eastAsia="inherit" w:hAnsi="inherit"/>
          <w:b w:val="1"/>
          <w:color w:val="222222"/>
          <w:rtl w:val="0"/>
        </w:rPr>
        <w:t xml:space="preserve"> </w:t>
      </w:r>
      <w:r w:rsidDel="00000000" w:rsidR="00000000" w:rsidRPr="00000000">
        <w:rPr>
          <w:rFonts w:ascii="inherit" w:cs="inherit" w:eastAsia="inherit" w:hAnsi="inherit"/>
          <w:b w:val="1"/>
          <w:i w:val="1"/>
          <w:color w:val="222222"/>
          <w:rtl w:val="0"/>
        </w:rPr>
        <w:t xml:space="preserve">La longue marche vers l’insertion des jeunes dans le secteur agricole</w:t>
      </w:r>
      <w:r w:rsidDel="00000000" w:rsidR="00000000" w:rsidRPr="00000000">
        <w:rPr>
          <w:rFonts w:ascii="inherit" w:cs="inherit" w:eastAsia="inherit" w:hAnsi="inherit"/>
          <w:b w:val="1"/>
          <w:color w:val="222222"/>
          <w:rtl w:val="0"/>
        </w:rPr>
        <w:t xml:space="preserve"> </w:t>
      </w:r>
      <w:r w:rsidDel="00000000" w:rsidR="00000000" w:rsidRPr="00000000">
        <w:rPr>
          <w:rFonts w:ascii="Source Sans Pro" w:cs="Source Sans Pro" w:eastAsia="Source Sans Pro" w:hAnsi="Source Sans Pro"/>
          <w:color w:val="222222"/>
          <w:rtl w:val="0"/>
        </w:rPr>
        <w:t xml:space="preserve"> », une soumission individuelle par Abdourahmane Diop, ingénieur agroéconomiste de formation, journaliste agri-blogueur, Initiateur de #sunumbay, sunumbay.com et de sunumbaytalk ;</w:t>
      </w:r>
    </w:p>
    <w:p w:rsidR="00000000" w:rsidDel="00000000" w:rsidP="00000000" w:rsidRDefault="00000000" w:rsidRPr="00000000" w14:paraId="00000009">
      <w:pPr>
        <w:numPr>
          <w:ilvl w:val="0"/>
          <w:numId w:val="1"/>
        </w:numPr>
        <w:shd w:fill="ffffff" w:val="clear"/>
        <w:ind w:left="1020" w:hanging="360"/>
        <w:rPr>
          <w:color w:val="222222"/>
        </w:rPr>
      </w:pPr>
      <w:r w:rsidDel="00000000" w:rsidR="00000000" w:rsidRPr="00000000">
        <w:rPr>
          <w:rFonts w:ascii="inherit" w:cs="inherit" w:eastAsia="inherit" w:hAnsi="inherit"/>
          <w:b w:val="1"/>
          <w:color w:val="222222"/>
          <w:rtl w:val="0"/>
        </w:rPr>
        <w:t xml:space="preserve">2eme Prix</w:t>
      </w:r>
      <w:r w:rsidDel="00000000" w:rsidR="00000000" w:rsidRPr="00000000">
        <w:rPr>
          <w:rFonts w:ascii="Source Sans Pro" w:cs="Source Sans Pro" w:eastAsia="Source Sans Pro" w:hAnsi="Source Sans Pro"/>
          <w:color w:val="222222"/>
          <w:rtl w:val="0"/>
        </w:rPr>
        <w:t xml:space="preserve"> à un reportage vidéo intitulé : « </w:t>
      </w:r>
      <w:r w:rsidDel="00000000" w:rsidR="00000000" w:rsidRPr="00000000">
        <w:rPr>
          <w:rFonts w:ascii="inherit" w:cs="inherit" w:eastAsia="inherit" w:hAnsi="inherit"/>
          <w:b w:val="1"/>
          <w:color w:val="222222"/>
          <w:rtl w:val="0"/>
        </w:rPr>
        <w:t xml:space="preserve"> </w:t>
      </w:r>
      <w:r w:rsidDel="00000000" w:rsidR="00000000" w:rsidRPr="00000000">
        <w:rPr>
          <w:rFonts w:ascii="inherit" w:cs="inherit" w:eastAsia="inherit" w:hAnsi="inherit"/>
          <w:b w:val="1"/>
          <w:i w:val="1"/>
          <w:color w:val="222222"/>
          <w:rtl w:val="0"/>
        </w:rPr>
        <w:t xml:space="preserve">Crises de commercialisation des produits maraîchers - quelles solutions pour les Niayes ?</w:t>
      </w:r>
      <w:r w:rsidDel="00000000" w:rsidR="00000000" w:rsidRPr="00000000">
        <w:rPr>
          <w:rFonts w:ascii="inherit" w:cs="inherit" w:eastAsia="inherit" w:hAnsi="inherit"/>
          <w:b w:val="1"/>
          <w:color w:val="222222"/>
          <w:rtl w:val="0"/>
        </w:rPr>
        <w:t xml:space="preserve"> </w:t>
      </w:r>
      <w:r w:rsidDel="00000000" w:rsidR="00000000" w:rsidRPr="00000000">
        <w:rPr>
          <w:rFonts w:ascii="Source Sans Pro" w:cs="Source Sans Pro" w:eastAsia="Source Sans Pro" w:hAnsi="Source Sans Pro"/>
          <w:color w:val="222222"/>
          <w:rtl w:val="0"/>
        </w:rPr>
        <w:t xml:space="preserve"> » produit par Moussa Ngom et Souleymane Diassy de la Maison des reporters, un espace de liberté éditoriale et de collaboration entre journalistes sur des sujets pertinents.</w:t>
      </w:r>
    </w:p>
    <w:p w:rsidR="00000000" w:rsidDel="00000000" w:rsidP="00000000" w:rsidRDefault="00000000" w:rsidRPr="00000000" w14:paraId="0000000A">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Récompenses des Lauréats</w:t>
      </w:r>
      <w:r w:rsidDel="00000000" w:rsidR="00000000" w:rsidRPr="00000000">
        <w:rPr>
          <w:rFonts w:ascii="Source Sans Pro" w:cs="Source Sans Pro" w:eastAsia="Source Sans Pro" w:hAnsi="Source Sans Pro"/>
          <w:color w:val="222222"/>
          <w:rtl w:val="0"/>
        </w:rPr>
        <w:br w:type="textWrapping"/>
        <w:t xml:space="preserve">Pour cette première édition, chaque catégorie du prix, deux lauréats sont couronnés avec pour le premier prix </w:t>
      </w:r>
      <w:r w:rsidDel="00000000" w:rsidR="00000000" w:rsidRPr="00000000">
        <w:rPr>
          <w:rFonts w:ascii="inherit" w:cs="inherit" w:eastAsia="inherit" w:hAnsi="inherit"/>
          <w:b w:val="1"/>
          <w:color w:val="222222"/>
          <w:rtl w:val="0"/>
        </w:rPr>
        <w:t xml:space="preserve">2 millions de F CFA et un ordinateur portable</w:t>
      </w:r>
      <w:r w:rsidDel="00000000" w:rsidR="00000000" w:rsidRPr="00000000">
        <w:rPr>
          <w:rFonts w:ascii="Source Sans Pro" w:cs="Source Sans Pro" w:eastAsia="Source Sans Pro" w:hAnsi="Source Sans Pro"/>
          <w:color w:val="222222"/>
          <w:rtl w:val="0"/>
        </w:rPr>
        <w:t xml:space="preserve"> et le deuxième prix </w:t>
      </w:r>
      <w:r w:rsidDel="00000000" w:rsidR="00000000" w:rsidRPr="00000000">
        <w:rPr>
          <w:rFonts w:ascii="inherit" w:cs="inherit" w:eastAsia="inherit" w:hAnsi="inherit"/>
          <w:b w:val="1"/>
          <w:color w:val="222222"/>
          <w:rtl w:val="0"/>
        </w:rPr>
        <w:t xml:space="preserve">1 million mille de F CFA et un ordinateur portable</w:t>
      </w:r>
      <w:r w:rsidDel="00000000" w:rsidR="00000000" w:rsidRPr="00000000">
        <w:rPr>
          <w:rFonts w:ascii="Source Sans Pro" w:cs="Source Sans Pro" w:eastAsia="Source Sans Pro" w:hAnsi="Source Sans Pro"/>
          <w:color w:val="222222"/>
          <w:rtl w:val="0"/>
        </w:rPr>
        <w:t xml:space="preserve">.</w:t>
        <w:br w:type="textWrapping"/>
      </w:r>
      <w:r w:rsidDel="00000000" w:rsidR="00000000" w:rsidRPr="00000000">
        <w:rPr>
          <w:rFonts w:ascii="Source Sans Pro" w:cs="Source Sans Pro" w:eastAsia="Source Sans Pro" w:hAnsi="Source Sans Pro"/>
          <w:color w:val="222222"/>
        </w:rPr>
        <w:drawing>
          <wp:inline distB="0" distT="0" distL="0" distR="0">
            <wp:extent cx="5756910" cy="148971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56910" cy="148971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prix AgriData initié à travers un partenariat entre’</w:t>
      </w:r>
      <w:hyperlink r:id="rId8">
        <w:r w:rsidDel="00000000" w:rsidR="00000000" w:rsidRPr="00000000">
          <w:rPr>
            <w:rFonts w:ascii="Source Sans Pro" w:cs="Source Sans Pro" w:eastAsia="Source Sans Pro" w:hAnsi="Source Sans Pro"/>
            <w:color w:val="52bdec"/>
            <w:u w:val="single"/>
            <w:rtl w:val="0"/>
          </w:rPr>
          <w:t xml:space="preserve">IPAR</w:t>
        </w:r>
      </w:hyperlink>
      <w:r w:rsidDel="00000000" w:rsidR="00000000" w:rsidRPr="00000000">
        <w:rPr>
          <w:rFonts w:ascii="Source Sans Pro" w:cs="Source Sans Pro" w:eastAsia="Source Sans Pro" w:hAnsi="Source Sans Pro"/>
          <w:color w:val="222222"/>
          <w:rtl w:val="0"/>
        </w:rPr>
        <w:t xml:space="preserve">, l’Agence nationale de la Statistique et de la démographie (</w:t>
      </w:r>
      <w:hyperlink r:id="rId9">
        <w:r w:rsidDel="00000000" w:rsidR="00000000" w:rsidRPr="00000000">
          <w:rPr>
            <w:rFonts w:ascii="Source Sans Pro" w:cs="Source Sans Pro" w:eastAsia="Source Sans Pro" w:hAnsi="Source Sans Pro"/>
            <w:color w:val="52bdec"/>
            <w:u w:val="single"/>
            <w:rtl w:val="0"/>
          </w:rPr>
          <w:t xml:space="preserve">ANSD</w:t>
        </w:r>
      </w:hyperlink>
      <w:r w:rsidDel="00000000" w:rsidR="00000000" w:rsidRPr="00000000">
        <w:rPr>
          <w:rFonts w:ascii="Source Sans Pro" w:cs="Source Sans Pro" w:eastAsia="Source Sans Pro" w:hAnsi="Source Sans Pro"/>
          <w:color w:val="222222"/>
          <w:rtl w:val="0"/>
        </w:rPr>
        <w:t xml:space="preserve">) et la Direction de l’Analyse, de la Prévision et des Statistiques Agricoles (</w:t>
      </w:r>
      <w:hyperlink r:id="rId10">
        <w:r w:rsidDel="00000000" w:rsidR="00000000" w:rsidRPr="00000000">
          <w:rPr>
            <w:rFonts w:ascii="Source Sans Pro" w:cs="Source Sans Pro" w:eastAsia="Source Sans Pro" w:hAnsi="Source Sans Pro"/>
            <w:color w:val="52bdec"/>
            <w:u w:val="single"/>
            <w:rtl w:val="0"/>
          </w:rPr>
          <w:t xml:space="preserve">DAPSA</w:t>
        </w:r>
      </w:hyperlink>
      <w:r w:rsidDel="00000000" w:rsidR="00000000" w:rsidRPr="00000000">
        <w:rPr>
          <w:rFonts w:ascii="Source Sans Pro" w:cs="Source Sans Pro" w:eastAsia="Source Sans Pro" w:hAnsi="Source Sans Pro"/>
          <w:color w:val="222222"/>
          <w:rtl w:val="0"/>
        </w:rPr>
        <w:t xml:space="preserve">), avec l’appui de la </w:t>
      </w:r>
      <w:hyperlink r:id="rId11">
        <w:r w:rsidDel="00000000" w:rsidR="00000000" w:rsidRPr="00000000">
          <w:rPr>
            <w:rFonts w:ascii="Source Sans Pro" w:cs="Source Sans Pro" w:eastAsia="Source Sans Pro" w:hAnsi="Source Sans Pro"/>
            <w:color w:val="52bdec"/>
            <w:u w:val="single"/>
            <w:rtl w:val="0"/>
          </w:rPr>
          <w:t xml:space="preserve">Fondation Hewlett</w:t>
        </w:r>
      </w:hyperlink>
      <w:r w:rsidDel="00000000" w:rsidR="00000000" w:rsidRPr="00000000">
        <w:rPr>
          <w:rFonts w:ascii="Source Sans Pro" w:cs="Source Sans Pro" w:eastAsia="Source Sans Pro" w:hAnsi="Source Sans Pro"/>
          <w:color w:val="222222"/>
          <w:rtl w:val="0"/>
        </w:rPr>
        <w:t xml:space="preserve"> et la </w:t>
      </w:r>
      <w:hyperlink r:id="rId12">
        <w:r w:rsidDel="00000000" w:rsidR="00000000" w:rsidRPr="00000000">
          <w:rPr>
            <w:rFonts w:ascii="Source Sans Pro" w:cs="Source Sans Pro" w:eastAsia="Source Sans Pro" w:hAnsi="Source Sans Pro"/>
            <w:color w:val="52bdec"/>
            <w:u w:val="single"/>
            <w:rtl w:val="0"/>
          </w:rPr>
          <w:t xml:space="preserve">FAO</w:t>
        </w:r>
      </w:hyperlink>
      <w:r w:rsidDel="00000000" w:rsidR="00000000" w:rsidRPr="00000000">
        <w:rPr>
          <w:rFonts w:ascii="Source Sans Pro" w:cs="Source Sans Pro" w:eastAsia="Source Sans Pro" w:hAnsi="Source Sans Pro"/>
          <w:color w:val="222222"/>
          <w:rtl w:val="0"/>
        </w:rPr>
        <w:t xml:space="preserve">, vise à inciter à l’utilisation des données et à la production de solutions comme outil d’aide à la prise de décision afin de contribuer à l’amélioration des politiques agricoles et de la qualité des données.</w:t>
      </w:r>
    </w:p>
    <w:p w:rsidR="00000000" w:rsidDel="00000000" w:rsidP="00000000" w:rsidRDefault="00000000" w:rsidRPr="00000000" w14:paraId="0000000C">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rappel, parmi les enseignements tirés de la conférence internationale sur les données de développement durable, organisée à Dakar en Octobre 2016 par la </w:t>
      </w:r>
      <w:hyperlink r:id="rId13">
        <w:r w:rsidDel="00000000" w:rsidR="00000000" w:rsidRPr="00000000">
          <w:rPr>
            <w:rFonts w:ascii="Source Sans Pro" w:cs="Source Sans Pro" w:eastAsia="Source Sans Pro" w:hAnsi="Source Sans Pro"/>
            <w:color w:val="52bdec"/>
            <w:u w:val="single"/>
            <w:rtl w:val="0"/>
          </w:rPr>
          <w:t xml:space="preserve">DGPPE</w:t>
        </w:r>
      </w:hyperlink>
      <w:r w:rsidDel="00000000" w:rsidR="00000000" w:rsidRPr="00000000">
        <w:rPr>
          <w:rFonts w:ascii="Source Sans Pro" w:cs="Source Sans Pro" w:eastAsia="Source Sans Pro" w:hAnsi="Source Sans Pro"/>
          <w:color w:val="222222"/>
          <w:rtl w:val="0"/>
        </w:rPr>
        <w:t xml:space="preserve">, l’ANSD et l’IPAR, avec l’appui du Partenariat mondial sur les données de développement durable (</w:t>
      </w:r>
      <w:hyperlink r:id="rId14">
        <w:r w:rsidDel="00000000" w:rsidR="00000000" w:rsidRPr="00000000">
          <w:rPr>
            <w:rFonts w:ascii="Source Sans Pro" w:cs="Source Sans Pro" w:eastAsia="Source Sans Pro" w:hAnsi="Source Sans Pro"/>
            <w:color w:val="52bdec"/>
            <w:u w:val="single"/>
            <w:rtl w:val="0"/>
          </w:rPr>
          <w:t xml:space="preserve">GPSDD</w:t>
        </w:r>
      </w:hyperlink>
      <w:r w:rsidDel="00000000" w:rsidR="00000000" w:rsidRPr="00000000">
        <w:rPr>
          <w:rFonts w:ascii="Source Sans Pro" w:cs="Source Sans Pro" w:eastAsia="Source Sans Pro" w:hAnsi="Source Sans Pro"/>
          <w:color w:val="222222"/>
          <w:rtl w:val="0"/>
        </w:rPr>
        <w:t xml:space="preserve">), figuraient le manque et le caractère incomplet des données et statistiques agricoles de base au Sénégal. Ces données sont pourtant indispensables pour une meilleure définition de politiques sectorielles et une prise de décision fondée sur des données factuelles. En conséquence, il a été recommandé de promouvoir les portails open data pour plus d’efficacité dans le suivi des ODD.</w:t>
      </w:r>
    </w:p>
    <w:p w:rsidR="00000000" w:rsidDel="00000000" w:rsidP="00000000" w:rsidRDefault="00000000" w:rsidRPr="00000000" w14:paraId="0000000D">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En réponse, l’IPAR, l’ANSD et la DAPSA travaillent à mettre en place une plateforme analytique présentant des statistiques et des données agricoles exhaustives, fiables et actuelles, comme base d’une politique de développement économique agricole fondée sur des données probantes.</w:t>
      </w:r>
    </w:p>
    <w:p w:rsidR="00000000" w:rsidDel="00000000" w:rsidP="00000000" w:rsidRDefault="00000000" w:rsidRPr="00000000" w14:paraId="0000000E">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L’objectif de ce projet AgriData « pour des données agricoles accessibles à tous » est de permettre aux divers utilisateurs d’accéder plus facilement et rapidement à l’ensemble des informations statistiques agricoles produites par les acteurs ou parties prenantes et le tout sur une même plateforme web.</w:t>
      </w:r>
    </w:p>
    <w:p w:rsidR="00000000" w:rsidDel="00000000" w:rsidP="00000000" w:rsidRDefault="00000000" w:rsidRPr="00000000" w14:paraId="0000000F">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cérémonie de remise des prix de cette édition Jacques Faye du prix AgriData est prévue en juin 2022 en marge du lancement officiel de la plateforme AgriData « pour des données agricoles accessibles à tous ».</w:t>
      </w:r>
    </w:p>
    <w:p w:rsidR="00000000" w:rsidDel="00000000" w:rsidP="00000000" w:rsidRDefault="00000000" w:rsidRPr="00000000" w14:paraId="00000010">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Initiateurs, le comité scientifique et le secrétariat félicitent les lauréats de cette édition Jacques Faye et vous donnent rendez-vous en juin pour la remise des prix et le lancement de la plateforme.</w:t>
      </w:r>
    </w:p>
    <w:p w:rsidR="00000000" w:rsidDel="00000000" w:rsidP="00000000" w:rsidRDefault="00000000" w:rsidRPr="00000000" w14:paraId="00000011">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Les lauréats de l’édition Jacques FAYE - 2021/2022</w:t>
      </w:r>
    </w:p>
    <w:p w:rsidR="00000000" w:rsidDel="00000000" w:rsidP="00000000" w:rsidRDefault="00000000" w:rsidRPr="00000000" w14:paraId="00000012">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8137525"/>
            <wp:effectExtent b="0" l="0" r="0" t="0"/>
            <wp:docPr id="3" name="image3.jpg"/>
            <a:graphic>
              <a:graphicData uri="http://schemas.openxmlformats.org/drawingml/2006/picture">
                <pic:pic>
                  <pic:nvPicPr>
                    <pic:cNvPr id="0" name="image3.jpg"/>
                    <pic:cNvPicPr preferRelativeResize="0"/>
                  </pic:nvPicPr>
                  <pic:blipFill>
                    <a:blip r:embed="rId15"/>
                    <a:srcRect b="0" l="0" r="0" t="0"/>
                    <a:stretch>
                      <a:fillRect/>
                    </a:stretch>
                  </pic:blipFill>
                  <pic:spPr>
                    <a:xfrm>
                      <a:off x="0" y="0"/>
                      <a:ext cx="5756910" cy="8137525"/>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toute information : </w:t>
      </w:r>
      <w:hyperlink r:id="rId16">
        <w:r w:rsidDel="00000000" w:rsidR="00000000" w:rsidRPr="00000000">
          <w:rPr>
            <w:rFonts w:ascii="Source Sans Pro" w:cs="Source Sans Pro" w:eastAsia="Source Sans Pro" w:hAnsi="Source Sans Pro"/>
            <w:color w:val="52bdec"/>
            <w:u w:val="single"/>
            <w:rtl w:val="0"/>
          </w:rPr>
          <w:t xml:space="preserve">chérif Sambou Bodian @IPAR</w:t>
        </w:r>
      </w:hyperlink>
      <w:r w:rsidDel="00000000" w:rsidR="00000000" w:rsidRPr="00000000">
        <w:rPr>
          <w:rFonts w:ascii="Source Sans Pro" w:cs="Source Sans Pro" w:eastAsia="Source Sans Pro" w:hAnsi="Source Sans Pro"/>
          <w:color w:val="222222"/>
          <w:rtl w:val="0"/>
        </w:rPr>
        <w:t xml:space="preserve"> - </w:t>
      </w:r>
      <w:hyperlink r:id="rId17">
        <w:r w:rsidDel="00000000" w:rsidR="00000000" w:rsidRPr="00000000">
          <w:rPr>
            <w:rFonts w:ascii="Source Sans Pro" w:cs="Source Sans Pro" w:eastAsia="Source Sans Pro" w:hAnsi="Source Sans Pro"/>
            <w:color w:val="52bdec"/>
            <w:u w:val="single"/>
            <w:rtl w:val="0"/>
          </w:rPr>
          <w:t xml:space="preserve">Awa Diop @ANSD</w:t>
        </w:r>
      </w:hyperlink>
      <w:r w:rsidDel="00000000" w:rsidR="00000000" w:rsidRPr="00000000">
        <w:rPr>
          <w:rtl w:val="0"/>
        </w:rPr>
      </w:r>
    </w:p>
    <w:p w:rsidR="00000000" w:rsidDel="00000000" w:rsidP="00000000" w:rsidRDefault="00000000" w:rsidRPr="00000000" w14:paraId="00000014">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15">
      <w:pPr>
        <w:numPr>
          <w:ilvl w:val="0"/>
          <w:numId w:val="2"/>
        </w:numPr>
        <w:shd w:fill="ffffff" w:val="clear"/>
        <w:ind w:left="720" w:hanging="360"/>
        <w:rPr>
          <w:color w:val="222222"/>
        </w:rPr>
      </w:pPr>
      <w:hyperlink r:id="rId18">
        <w:r w:rsidDel="00000000" w:rsidR="00000000" w:rsidRPr="00000000">
          <w:rPr>
            <w:rFonts w:ascii="Source Sans Pro" w:cs="Source Sans Pro" w:eastAsia="Source Sans Pro" w:hAnsi="Source Sans Pro"/>
            <w:color w:val="52bdec"/>
          </w:rPr>
          <w:drawing>
            <wp:inline distB="0" distT="0" distL="0" distR="0">
              <wp:extent cx="1520825" cy="887095"/>
              <wp:effectExtent b="0" l="0" r="0" t="0"/>
              <wp:docPr id="2" name="image2.jpg"/>
              <a:graphic>
                <a:graphicData uri="http://schemas.openxmlformats.org/drawingml/2006/picture">
                  <pic:pic>
                    <pic:nvPicPr>
                      <pic:cNvPr id="0" name="image2.jpg"/>
                      <pic:cNvPicPr preferRelativeResize="0"/>
                    </pic:nvPicPr>
                    <pic:blipFill>
                      <a:blip r:embed="rId19"/>
                      <a:srcRect b="0" l="0" r="0" t="0"/>
                      <a:stretch>
                        <a:fillRect/>
                      </a:stretch>
                    </pic:blipFill>
                    <pic:spPr>
                      <a:xfrm>
                        <a:off x="0" y="0"/>
                        <a:ext cx="1520825" cy="887095"/>
                      </a:xfrm>
                      <a:prstGeom prst="rect"/>
                      <a:ln/>
                    </pic:spPr>
                  </pic:pic>
                </a:graphicData>
              </a:graphic>
            </wp:inline>
          </w:drawing>
        </w:r>
      </w:hyperlink>
      <w:hyperlink r:id="rId20">
        <w:r w:rsidDel="00000000" w:rsidR="00000000" w:rsidRPr="00000000">
          <w:rPr>
            <w:rFonts w:ascii="Source Sans Pro" w:cs="Source Sans Pro" w:eastAsia="Source Sans Pro" w:hAnsi="Source Sans Pro"/>
            <w:color w:val="52bdec"/>
            <w:u w:val="single"/>
            <w:rtl w:val="0"/>
          </w:rPr>
          <w:t xml:space="preserve">Prix AgriData : Session spéciale de présentation et de renforcement de journalistes sur les mécanismes d’exploitation de données scientifiques</w:t>
        </w:r>
      </w:hyperlink>
      <w:r w:rsidDel="00000000" w:rsidR="00000000" w:rsidRPr="00000000">
        <w:rPr>
          <w:rtl w:val="0"/>
        </w:rPr>
      </w:r>
    </w:p>
    <w:p w:rsidR="00000000" w:rsidDel="00000000" w:rsidP="00000000" w:rsidRDefault="00000000" w:rsidRPr="00000000" w14:paraId="00000016">
      <w:pPr>
        <w:numPr>
          <w:ilvl w:val="0"/>
          <w:numId w:val="2"/>
        </w:numPr>
        <w:shd w:fill="ffffff" w:val="clear"/>
        <w:ind w:left="720" w:hanging="360"/>
        <w:rPr>
          <w:color w:val="222222"/>
        </w:rPr>
      </w:pPr>
      <w:hyperlink r:id="rId21">
        <w:r w:rsidDel="00000000" w:rsidR="00000000" w:rsidRPr="00000000">
          <w:rPr>
            <w:rFonts w:ascii="Source Sans Pro" w:cs="Source Sans Pro" w:eastAsia="Source Sans Pro" w:hAnsi="Source Sans Pro"/>
            <w:color w:val="52bdec"/>
          </w:rPr>
          <w:drawing>
            <wp:inline distB="0" distT="0" distL="0" distR="0">
              <wp:extent cx="1520825" cy="887095"/>
              <wp:effectExtent b="0" l="0" r="0" t="0"/>
              <wp:docPr id="5" name="image5.jpg"/>
              <a:graphic>
                <a:graphicData uri="http://schemas.openxmlformats.org/drawingml/2006/picture">
                  <pic:pic>
                    <pic:nvPicPr>
                      <pic:cNvPr id="0" name="image5.jpg"/>
                      <pic:cNvPicPr preferRelativeResize="0"/>
                    </pic:nvPicPr>
                    <pic:blipFill>
                      <a:blip r:embed="rId22"/>
                      <a:srcRect b="0" l="0" r="0" t="0"/>
                      <a:stretch>
                        <a:fillRect/>
                      </a:stretch>
                    </pic:blipFill>
                    <pic:spPr>
                      <a:xfrm>
                        <a:off x="0" y="0"/>
                        <a:ext cx="1520825" cy="887095"/>
                      </a:xfrm>
                      <a:prstGeom prst="rect"/>
                      <a:ln/>
                    </pic:spPr>
                  </pic:pic>
                </a:graphicData>
              </a:graphic>
            </wp:inline>
          </w:drawing>
        </w:r>
      </w:hyperlink>
      <w:hyperlink r:id="rId23">
        <w:r w:rsidDel="00000000" w:rsidR="00000000" w:rsidRPr="00000000">
          <w:rPr>
            <w:rFonts w:ascii="Source Sans Pro" w:cs="Source Sans Pro" w:eastAsia="Source Sans Pro" w:hAnsi="Source Sans Pro"/>
            <w:color w:val="52bdec"/>
            <w:u w:val="single"/>
            <w:rtl w:val="0"/>
          </w:rPr>
          <w:t xml:space="preserve">Prix AgriData : Session de présentation aux journalistes et de renforcement sur les mécanismes d’exploitation de données scientifiques.</w:t>
        </w:r>
      </w:hyperlink>
      <w:r w:rsidDel="00000000" w:rsidR="00000000" w:rsidRPr="00000000">
        <w:rPr>
          <w:rtl w:val="0"/>
        </w:rPr>
      </w:r>
    </w:p>
    <w:p w:rsidR="00000000" w:rsidDel="00000000" w:rsidP="00000000" w:rsidRDefault="00000000" w:rsidRPr="00000000" w14:paraId="00000017">
      <w:pPr>
        <w:numPr>
          <w:ilvl w:val="0"/>
          <w:numId w:val="2"/>
        </w:numPr>
        <w:shd w:fill="ffffff" w:val="clear"/>
        <w:ind w:left="720" w:hanging="360"/>
        <w:rPr>
          <w:color w:val="222222"/>
        </w:rPr>
      </w:pPr>
      <w:hyperlink r:id="rId24">
        <w:r w:rsidDel="00000000" w:rsidR="00000000" w:rsidRPr="00000000">
          <w:rPr>
            <w:rFonts w:ascii="Source Sans Pro" w:cs="Source Sans Pro" w:eastAsia="Source Sans Pro" w:hAnsi="Source Sans Pro"/>
            <w:color w:val="52bdec"/>
          </w:rPr>
          <w:drawing>
            <wp:inline distB="0" distT="0" distL="0" distR="0">
              <wp:extent cx="1520825" cy="887095"/>
              <wp:effectExtent b="0" l="0" r="0" t="0"/>
              <wp:docPr id="4" name="image4.jpg"/>
              <a:graphic>
                <a:graphicData uri="http://schemas.openxmlformats.org/drawingml/2006/picture">
                  <pic:pic>
                    <pic:nvPicPr>
                      <pic:cNvPr id="0" name="image4.jpg"/>
                      <pic:cNvPicPr preferRelativeResize="0"/>
                    </pic:nvPicPr>
                    <pic:blipFill>
                      <a:blip r:embed="rId25"/>
                      <a:srcRect b="0" l="0" r="0" t="0"/>
                      <a:stretch>
                        <a:fillRect/>
                      </a:stretch>
                    </pic:blipFill>
                    <pic:spPr>
                      <a:xfrm>
                        <a:off x="0" y="0"/>
                        <a:ext cx="1520825" cy="887095"/>
                      </a:xfrm>
                      <a:prstGeom prst="rect"/>
                      <a:ln/>
                    </pic:spPr>
                  </pic:pic>
                </a:graphicData>
              </a:graphic>
            </wp:inline>
          </w:drawing>
        </w:r>
      </w:hyperlink>
      <w:hyperlink r:id="rId26">
        <w:r w:rsidDel="00000000" w:rsidR="00000000" w:rsidRPr="00000000">
          <w:rPr>
            <w:rFonts w:ascii="Source Sans Pro" w:cs="Source Sans Pro" w:eastAsia="Source Sans Pro" w:hAnsi="Source Sans Pro"/>
            <w:color w:val="52bdec"/>
            <w:u w:val="single"/>
            <w:rtl w:val="0"/>
          </w:rPr>
          <w:t xml:space="preserve">Prix AgriData : Session spéciale de présentation dédiée aux étudiants à travers un webinaire</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ipar.sn/Prix-AgriData-Session-speciale-de-presentation-et-de-renforcement-de.html" TargetMode="External"/><Relationship Id="rId22" Type="http://schemas.openxmlformats.org/officeDocument/2006/relationships/image" Target="media/image5.jpg"/><Relationship Id="rId21" Type="http://schemas.openxmlformats.org/officeDocument/2006/relationships/hyperlink" Target="https://ipar.sn/Prix-AgriData-Session-de-presentation-aux-journalistes-et-de-renforcement-sur.html" TargetMode="External"/><Relationship Id="rId24" Type="http://schemas.openxmlformats.org/officeDocument/2006/relationships/hyperlink" Target="https://ipar.sn/Prix-AgriData-Session-speciale-de-presentation-dediee-aux-etudiants-a-travers.html" TargetMode="External"/><Relationship Id="rId23" Type="http://schemas.openxmlformats.org/officeDocument/2006/relationships/hyperlink" Target="https://ipar.sn/Prix-AgriData-Session-de-presentation-aux-journalistes-et-de-renforcement-sur.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nsd.sn/" TargetMode="External"/><Relationship Id="rId26" Type="http://schemas.openxmlformats.org/officeDocument/2006/relationships/hyperlink" Target="https://ipar.sn/Prix-AgriData-Session-speciale-de-presentation-dediee-aux-etudiants-a-travers.html" TargetMode="External"/><Relationship Id="rId25" Type="http://schemas.openxmlformats.org/officeDocument/2006/relationships/image" Target="media/image4.jpg"/><Relationship Id="rId5" Type="http://schemas.openxmlformats.org/officeDocument/2006/relationships/styles" Target="styles.xml"/><Relationship Id="rId6" Type="http://schemas.openxmlformats.org/officeDocument/2006/relationships/hyperlink" Target="https://ipar.sn/Jacques-Faye-le-chercheur-Du-foncier-aux-systemes-avec-les-paysans-pour-1470.html" TargetMode="External"/><Relationship Id="rId7" Type="http://schemas.openxmlformats.org/officeDocument/2006/relationships/image" Target="media/image1.jpg"/><Relationship Id="rId8" Type="http://schemas.openxmlformats.org/officeDocument/2006/relationships/hyperlink" Target="http://www.ipar.sn/" TargetMode="External"/><Relationship Id="rId11" Type="http://schemas.openxmlformats.org/officeDocument/2006/relationships/hyperlink" Target="https://hewlett.org/" TargetMode="External"/><Relationship Id="rId10" Type="http://schemas.openxmlformats.org/officeDocument/2006/relationships/hyperlink" Target="https://www.dapsa.gouv.sn/" TargetMode="External"/><Relationship Id="rId13" Type="http://schemas.openxmlformats.org/officeDocument/2006/relationships/hyperlink" Target="https://dgppe.sn/en/" TargetMode="External"/><Relationship Id="rId12" Type="http://schemas.openxmlformats.org/officeDocument/2006/relationships/hyperlink" Target="https://www.fao.org/senegal/fr#:~:text=Le%20bureau%20de%20la%20FAO,les%20priorit%C3%A9s%202019%2D2023)." TargetMode="External"/><Relationship Id="rId15" Type="http://schemas.openxmlformats.org/officeDocument/2006/relationships/image" Target="media/image3.jpg"/><Relationship Id="rId14" Type="http://schemas.openxmlformats.org/officeDocument/2006/relationships/hyperlink" Target="https://www.data4sdgs.org/" TargetMode="External"/><Relationship Id="rId17" Type="http://schemas.openxmlformats.org/officeDocument/2006/relationships/hyperlink" Target="mailto:Awa.DIOP@ansd.sn" TargetMode="External"/><Relationship Id="rId16" Type="http://schemas.openxmlformats.org/officeDocument/2006/relationships/hyperlink" Target="mailto:cherif.bodian@ipar.sn" TargetMode="External"/><Relationship Id="rId19" Type="http://schemas.openxmlformats.org/officeDocument/2006/relationships/image" Target="media/image2.jpg"/><Relationship Id="rId18" Type="http://schemas.openxmlformats.org/officeDocument/2006/relationships/hyperlink" Target="https://ipar.sn/Prix-AgriData-Session-speciale-de-presentation-et-de-renforcement-de.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