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Le PROCASEF lance une campagne d’information et de sensibilisation sur les conventions avec les communes</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27 septembre 2022</w:t>
      </w:r>
    </w:p>
    <w:p w:rsidR="00000000" w:rsidDel="00000000" w:rsidP="00000000" w:rsidRDefault="00000000" w:rsidRPr="00000000" w14:paraId="00000003">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Les objectifs de développement du Projet Cadastre et Sécurisation Foncière (</w:t>
      </w:r>
      <w:r w:rsidDel="00000000" w:rsidR="00000000" w:rsidRPr="00000000">
        <w:rPr>
          <w:rFonts w:ascii="inherit" w:cs="inherit" w:eastAsia="inherit" w:hAnsi="inherit"/>
          <w:b w:val="1"/>
          <w:color w:val="222222"/>
          <w:rtl w:val="0"/>
        </w:rPr>
        <w:t xml:space="preserve">PROCASEF</w:t>
      </w:r>
      <w:r w:rsidDel="00000000" w:rsidR="00000000" w:rsidRPr="00000000">
        <w:rPr>
          <w:rFonts w:ascii="Source Sans Pro" w:cs="Source Sans Pro" w:eastAsia="Source Sans Pro" w:hAnsi="Source Sans Pro"/>
          <w:color w:val="222222"/>
          <w:rtl w:val="0"/>
        </w:rPr>
        <w:t xml:space="preserve">) sont : (i) de renforcer la capacité du Gouvernement du Sénégal pour la mise en œuvre d’un cadastre à l’échelle nationale, et (ii) d’améliorer la sécurisation foncière dans des zones sélectionnées. Il est financé à hauteur de 80 millions USD Dollars par l’</w:t>
      </w:r>
      <w:hyperlink r:id="rId6">
        <w:r w:rsidDel="00000000" w:rsidR="00000000" w:rsidRPr="00000000">
          <w:rPr>
            <w:rFonts w:ascii="Source Sans Pro" w:cs="Source Sans Pro" w:eastAsia="Source Sans Pro" w:hAnsi="Source Sans Pro"/>
            <w:color w:val="52bdec"/>
            <w:rtl w:val="0"/>
          </w:rPr>
          <w:t xml:space="preserve">IDA</w:t>
        </w:r>
      </w:hyperlink>
      <w:r w:rsidDel="00000000" w:rsidR="00000000" w:rsidRPr="00000000">
        <w:rPr>
          <w:rFonts w:ascii="Source Sans Pro" w:cs="Source Sans Pro" w:eastAsia="Source Sans Pro" w:hAnsi="Source Sans Pro"/>
          <w:color w:val="222222"/>
          <w:rtl w:val="0"/>
        </w:rPr>
        <w:t xml:space="preserve"> pour une durée de de 5 ans (2021-2026).</w:t>
      </w:r>
    </w:p>
    <w:p w:rsidR="00000000" w:rsidDel="00000000" w:rsidP="00000000" w:rsidRDefault="00000000" w:rsidRPr="00000000" w14:paraId="00000004">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Projet, mis en œuvre par le Gouvernement du Sénégal et sous la tutelle du </w:t>
      </w:r>
      <w:hyperlink r:id="rId7">
        <w:r w:rsidDel="00000000" w:rsidR="00000000" w:rsidRPr="00000000">
          <w:rPr>
            <w:rFonts w:ascii="Source Sans Pro" w:cs="Source Sans Pro" w:eastAsia="Source Sans Pro" w:hAnsi="Source Sans Pro"/>
            <w:color w:val="52bdec"/>
            <w:rtl w:val="0"/>
          </w:rPr>
          <w:t xml:space="preserve">Ministère des Finances et du Budget</w:t>
        </w:r>
      </w:hyperlink>
      <w:r w:rsidDel="00000000" w:rsidR="00000000" w:rsidRPr="00000000">
        <w:rPr>
          <w:rFonts w:ascii="Source Sans Pro" w:cs="Source Sans Pro" w:eastAsia="Source Sans Pro" w:hAnsi="Source Sans Pro"/>
          <w:color w:val="222222"/>
          <w:rtl w:val="0"/>
        </w:rPr>
        <w:t xml:space="preserve"> (MFB), est implémenté dans 136 Communes réparties dans les 14 régions du Sénégal. La collaboration entre le PROCASEF et les Communes se fera sur la base de conventions et de contrats de performance signés entre les deux parties.</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Dans la perspective de cette collaboration, le projet et ses partenaires de mise en œuvre dont la plateforme nationale sur la gouvernance foncière et le Cadre de Réflexion et d’Action sur le Foncier au Sénégal (CRAFS), ont initié une campagne d’information et de sensibilisation pour accompagner la signature et la mise en œuvre de ces conventions. C’est dans ce cadre que cinq ateliers d’information et de sensibilisation seront organisés du 22 au 30 septembre 2022, dans les régions de Saint-Louis, Louga, Matam, Tambacounda et Kédougou.</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Il sera question lors de ces ateliers régionaux de rencontrer les autorités territoriales, les maires, les services techniques, la société civile et tous les acteurs intervenant sur les questions foncières afin de leur présenter le PROCASEF, d’établir le contact physique avec tous les acteurs, les partenaires, de finaliser la campagne initiale d’information et, enfin, de jeter les bases de la collaboration pour l’étape d’exécution du projet.</w:t>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Les objectifs spécifiques de cette rencontre sont de :</w:t>
      </w:r>
    </w:p>
    <w:p w:rsidR="00000000" w:rsidDel="00000000" w:rsidP="00000000" w:rsidRDefault="00000000" w:rsidRPr="00000000" w14:paraId="00000008">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Interagir avec les autorités territoriales : Gouverneurs, Préfets, Sous-préfets pour leur présenter le projet dans toutes ses composantes et les Conventions avec les communes ;</w:t>
      </w:r>
    </w:p>
    <w:p w:rsidR="00000000" w:rsidDel="00000000" w:rsidP="00000000" w:rsidRDefault="00000000" w:rsidRPr="00000000" w14:paraId="00000009">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Informer tous les partenaires et acteurs sur le projet ;</w:t>
      </w:r>
    </w:p>
    <w:p w:rsidR="00000000" w:rsidDel="00000000" w:rsidP="00000000" w:rsidRDefault="00000000" w:rsidRPr="00000000" w14:paraId="0000000A">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Mobiliser les autorités territoriales autour des objectifs du projet afin d’optimiser la vulgarisation et la sensibilisation et la mise en œuvre du projet ;</w:t>
      </w:r>
    </w:p>
    <w:p w:rsidR="00000000" w:rsidDel="00000000" w:rsidP="00000000" w:rsidRDefault="00000000" w:rsidRPr="00000000" w14:paraId="0000000B">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Rencontrer les Maires et discuter des modalités de mise en Œuvre ;</w:t>
      </w:r>
    </w:p>
    <w:p w:rsidR="00000000" w:rsidDel="00000000" w:rsidP="00000000" w:rsidRDefault="00000000" w:rsidRPr="00000000" w14:paraId="0000000C">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Mobiliser les maires autour de l’idéal du projet et favoriser une plus grande implication de ces derniers dans la mise en œuvre du PROCASEF ;</w:t>
      </w:r>
    </w:p>
    <w:p w:rsidR="00000000" w:rsidDel="00000000" w:rsidP="00000000" w:rsidRDefault="00000000" w:rsidRPr="00000000" w14:paraId="0000000D">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Faciliter un dialogue constructif entre le PROCASEF et les services techniques, la société civile et tous les acteurs et partenaires concernés par le projet ;</w:t>
      </w:r>
    </w:p>
    <w:p w:rsidR="00000000" w:rsidDel="00000000" w:rsidP="00000000" w:rsidRDefault="00000000" w:rsidRPr="00000000" w14:paraId="0000000E">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Enfin, préparer les prochaines missions de déploiement du PROCASEF.</w:t>
      </w:r>
    </w:p>
    <w:p w:rsidR="00000000" w:rsidDel="00000000" w:rsidP="00000000" w:rsidRDefault="00000000" w:rsidRPr="00000000" w14:paraId="0000000F">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Les principales étapes de cette tournée de sensibilisation sont les suivantes :</w:t>
      </w:r>
    </w:p>
    <w:tbl>
      <w:tblPr>
        <w:tblStyle w:val="Table1"/>
        <w:tblW w:w="9066.0" w:type="dxa"/>
        <w:jc w:val="center"/>
        <w:tblLayout w:type="fixed"/>
        <w:tblLook w:val="0400"/>
      </w:tblPr>
      <w:tblGrid>
        <w:gridCol w:w="4850"/>
        <w:gridCol w:w="4216"/>
        <w:tblGridChange w:id="0">
          <w:tblGrid>
            <w:gridCol w:w="4850"/>
            <w:gridCol w:w="4216"/>
          </w:tblGrid>
        </w:tblGridChange>
      </w:tblGrid>
      <w:tr>
        <w:trPr>
          <w:cantSplit w:val="0"/>
          <w:tblHeader w:val="1"/>
        </w:trPr>
        <w:tc>
          <w:tcPr>
            <w:tcBorders>
              <w:top w:color="000000" w:space="0" w:sz="0" w:val="nil"/>
              <w:left w:color="000000" w:space="0" w:sz="0" w:val="nil"/>
              <w:bottom w:color="000000" w:space="0" w:sz="0" w:val="nil"/>
              <w:right w:color="000000" w:space="0" w:sz="0" w:val="nil"/>
            </w:tcBorders>
            <w:shd w:fill="dddddd" w:val="clear"/>
            <w:tcMar>
              <w:top w:w="180.0" w:type="dxa"/>
              <w:left w:w="180.0" w:type="dxa"/>
              <w:bottom w:w="180.0" w:type="dxa"/>
              <w:right w:w="180.0" w:type="dxa"/>
            </w:tcMar>
            <w:vAlign w:val="bottom"/>
          </w:tcPr>
          <w:p w:rsidR="00000000" w:rsidDel="00000000" w:rsidP="00000000" w:rsidRDefault="00000000" w:rsidRPr="00000000" w14:paraId="00000010">
            <w:pPr>
              <w:jc w:val="center"/>
              <w:rPr>
                <w:rFonts w:ascii="inherit" w:cs="inherit" w:eastAsia="inherit" w:hAnsi="inherit"/>
                <w:b w:val="1"/>
              </w:rPr>
            </w:pPr>
            <w:r w:rsidDel="00000000" w:rsidR="00000000" w:rsidRPr="00000000">
              <w:rPr>
                <w:rFonts w:ascii="inherit" w:cs="inherit" w:eastAsia="inherit" w:hAnsi="inherit"/>
                <w:b w:val="1"/>
                <w:rtl w:val="0"/>
              </w:rPr>
              <w:t xml:space="preserve">Activités</w:t>
            </w:r>
          </w:p>
        </w:tc>
        <w:tc>
          <w:tcPr>
            <w:tcBorders>
              <w:top w:color="000000" w:space="0" w:sz="0" w:val="nil"/>
              <w:left w:color="000000" w:space="0" w:sz="0" w:val="nil"/>
              <w:bottom w:color="000000" w:space="0" w:sz="0" w:val="nil"/>
              <w:right w:color="000000" w:space="0" w:sz="0" w:val="nil"/>
            </w:tcBorders>
            <w:shd w:fill="dddddd" w:val="clear"/>
            <w:tcMar>
              <w:top w:w="180.0" w:type="dxa"/>
              <w:left w:w="180.0" w:type="dxa"/>
              <w:bottom w:w="180.0" w:type="dxa"/>
              <w:right w:w="180.0" w:type="dxa"/>
            </w:tcMar>
            <w:vAlign w:val="bottom"/>
          </w:tcPr>
          <w:p w:rsidR="00000000" w:rsidDel="00000000" w:rsidP="00000000" w:rsidRDefault="00000000" w:rsidRPr="00000000" w14:paraId="00000011">
            <w:pPr>
              <w:jc w:val="center"/>
              <w:rPr>
                <w:rFonts w:ascii="inherit" w:cs="inherit" w:eastAsia="inherit" w:hAnsi="inherit"/>
                <w:b w:val="1"/>
              </w:rPr>
            </w:pPr>
            <w:r w:rsidDel="00000000" w:rsidR="00000000" w:rsidRPr="00000000">
              <w:rPr>
                <w:rFonts w:ascii="inherit" w:cs="inherit" w:eastAsia="inherit" w:hAnsi="inherit"/>
                <w:b w:val="1"/>
                <w:rtl w:val="0"/>
              </w:rPr>
              <w:t xml:space="preserve">Période</w:t>
            </w:r>
          </w:p>
        </w:tc>
      </w:tr>
      <w:tr>
        <w:trPr>
          <w:cantSplit w:val="0"/>
          <w:tblHeader w:val="0"/>
        </w:trPr>
        <w:tc>
          <w:tcPr>
            <w:tcBorders>
              <w:top w:color="000000" w:space="0" w:sz="0" w:val="nil"/>
              <w:left w:color="000000" w:space="0" w:sz="0" w:val="nil"/>
              <w:bottom w:color="000000" w:space="0" w:sz="0" w:val="nil"/>
              <w:right w:color="000000" w:space="0" w:sz="0" w:val="nil"/>
            </w:tcBorders>
            <w:tcMar>
              <w:top w:w="180.0" w:type="dxa"/>
              <w:left w:w="180.0" w:type="dxa"/>
              <w:bottom w:w="180.0" w:type="dxa"/>
              <w:right w:w="180.0" w:type="dxa"/>
            </w:tcMar>
            <w:vAlign w:val="bottom"/>
          </w:tcPr>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Atelier Régional de Saint-Louis</w:t>
            </w:r>
          </w:p>
        </w:tc>
        <w:tc>
          <w:tcPr>
            <w:tcBorders>
              <w:top w:color="000000" w:space="0" w:sz="0" w:val="nil"/>
              <w:left w:color="000000" w:space="0" w:sz="0" w:val="nil"/>
              <w:bottom w:color="000000" w:space="0" w:sz="0" w:val="nil"/>
              <w:right w:color="000000" w:space="0" w:sz="0" w:val="nil"/>
            </w:tcBorders>
            <w:tcMar>
              <w:top w:w="180.0" w:type="dxa"/>
              <w:left w:w="180.0" w:type="dxa"/>
              <w:bottom w:w="180.0" w:type="dxa"/>
              <w:right w:w="180.0" w:type="dxa"/>
            </w:tcMar>
            <w:vAlign w:val="bottom"/>
          </w:tcPr>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Jeudi 22 Septembre2022</w:t>
            </w:r>
          </w:p>
        </w:tc>
      </w:tr>
      <w:tr>
        <w:trPr>
          <w:cantSplit w:val="0"/>
          <w:tblHeader w:val="0"/>
        </w:trPr>
        <w:tc>
          <w:tcPr>
            <w:tcBorders>
              <w:top w:color="000000" w:space="0" w:sz="0" w:val="nil"/>
              <w:left w:color="000000" w:space="0" w:sz="0" w:val="nil"/>
              <w:bottom w:color="000000" w:space="0" w:sz="0" w:val="nil"/>
              <w:right w:color="000000" w:space="0" w:sz="0" w:val="nil"/>
            </w:tcBorders>
            <w:shd w:fill="eeeeee" w:val="clear"/>
            <w:tcMar>
              <w:top w:w="180.0" w:type="dxa"/>
              <w:left w:w="180.0" w:type="dxa"/>
              <w:bottom w:w="180.0" w:type="dxa"/>
              <w:right w:w="180.0" w:type="dxa"/>
            </w:tcMar>
            <w:vAlign w:val="bottom"/>
          </w:tcPr>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Atelier Régional de Matam</w:t>
            </w:r>
          </w:p>
        </w:tc>
        <w:tc>
          <w:tcPr>
            <w:tcBorders>
              <w:top w:color="000000" w:space="0" w:sz="0" w:val="nil"/>
              <w:left w:color="000000" w:space="0" w:sz="0" w:val="nil"/>
              <w:bottom w:color="000000" w:space="0" w:sz="0" w:val="nil"/>
              <w:right w:color="000000" w:space="0" w:sz="0" w:val="nil"/>
            </w:tcBorders>
            <w:shd w:fill="eeeeee" w:val="clear"/>
            <w:tcMar>
              <w:top w:w="180.0" w:type="dxa"/>
              <w:left w:w="180.0" w:type="dxa"/>
              <w:bottom w:w="180.0" w:type="dxa"/>
              <w:right w:w="180.0" w:type="dxa"/>
            </w:tcMar>
            <w:vAlign w:val="bottom"/>
          </w:tcPr>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Vendredi 23 Septembre 2022</w:t>
            </w:r>
          </w:p>
        </w:tc>
      </w:tr>
      <w:tr>
        <w:trPr>
          <w:cantSplit w:val="0"/>
          <w:tblHeader w:val="0"/>
        </w:trPr>
        <w:tc>
          <w:tcPr>
            <w:tcBorders>
              <w:top w:color="000000" w:space="0" w:sz="0" w:val="nil"/>
              <w:left w:color="000000" w:space="0" w:sz="0" w:val="nil"/>
              <w:bottom w:color="000000" w:space="0" w:sz="0" w:val="nil"/>
              <w:right w:color="000000" w:space="0" w:sz="0" w:val="nil"/>
            </w:tcBorders>
            <w:tcMar>
              <w:top w:w="180.0" w:type="dxa"/>
              <w:left w:w="180.0" w:type="dxa"/>
              <w:bottom w:w="180.0" w:type="dxa"/>
              <w:right w:w="180.0" w:type="dxa"/>
            </w:tcMar>
            <w:vAlign w:val="bottom"/>
          </w:tcPr>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Atelier Régional de Matam</w:t>
            </w:r>
          </w:p>
        </w:tc>
        <w:tc>
          <w:tcPr>
            <w:tcBorders>
              <w:top w:color="000000" w:space="0" w:sz="0" w:val="nil"/>
              <w:left w:color="000000" w:space="0" w:sz="0" w:val="nil"/>
              <w:bottom w:color="000000" w:space="0" w:sz="0" w:val="nil"/>
              <w:right w:color="000000" w:space="0" w:sz="0" w:val="nil"/>
            </w:tcBorders>
            <w:tcMar>
              <w:top w:w="180.0" w:type="dxa"/>
              <w:left w:w="180.0" w:type="dxa"/>
              <w:bottom w:w="180.0" w:type="dxa"/>
              <w:right w:w="180.0" w:type="dxa"/>
            </w:tcMar>
            <w:vAlign w:val="bottom"/>
          </w:tcPr>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Lundi 26 Septembre 2022</w:t>
            </w:r>
          </w:p>
        </w:tc>
      </w:tr>
      <w:tr>
        <w:trPr>
          <w:cantSplit w:val="0"/>
          <w:tblHeader w:val="0"/>
        </w:trPr>
        <w:tc>
          <w:tcPr>
            <w:tcBorders>
              <w:top w:color="000000" w:space="0" w:sz="0" w:val="nil"/>
              <w:left w:color="000000" w:space="0" w:sz="0" w:val="nil"/>
              <w:bottom w:color="000000" w:space="0" w:sz="0" w:val="nil"/>
              <w:right w:color="000000" w:space="0" w:sz="0" w:val="nil"/>
            </w:tcBorders>
            <w:shd w:fill="eeeeee" w:val="clear"/>
            <w:tcMar>
              <w:top w:w="180.0" w:type="dxa"/>
              <w:left w:w="180.0" w:type="dxa"/>
              <w:bottom w:w="180.0" w:type="dxa"/>
              <w:right w:w="180.0" w:type="dxa"/>
            </w:tcMar>
            <w:vAlign w:val="bottom"/>
          </w:tcPr>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Atelier Régional de Tambacounda</w:t>
            </w:r>
          </w:p>
        </w:tc>
        <w:tc>
          <w:tcPr>
            <w:tcBorders>
              <w:top w:color="000000" w:space="0" w:sz="0" w:val="nil"/>
              <w:left w:color="000000" w:space="0" w:sz="0" w:val="nil"/>
              <w:bottom w:color="000000" w:space="0" w:sz="0" w:val="nil"/>
              <w:right w:color="000000" w:space="0" w:sz="0" w:val="nil"/>
            </w:tcBorders>
            <w:shd w:fill="eeeeee" w:val="clear"/>
            <w:tcMar>
              <w:top w:w="180.0" w:type="dxa"/>
              <w:left w:w="180.0" w:type="dxa"/>
              <w:bottom w:w="180.0" w:type="dxa"/>
              <w:right w:w="180.0" w:type="dxa"/>
            </w:tcMar>
            <w:vAlign w:val="bottom"/>
          </w:tcPr>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Jeudi 29 Septembre 2022</w:t>
            </w:r>
          </w:p>
        </w:tc>
      </w:tr>
      <w:tr>
        <w:trPr>
          <w:cantSplit w:val="0"/>
          <w:tblHeader w:val="0"/>
        </w:trPr>
        <w:tc>
          <w:tcPr>
            <w:tcBorders>
              <w:top w:color="000000" w:space="0" w:sz="0" w:val="nil"/>
              <w:left w:color="000000" w:space="0" w:sz="0" w:val="nil"/>
              <w:bottom w:color="000000" w:space="0" w:sz="0" w:val="nil"/>
              <w:right w:color="000000" w:space="0" w:sz="0" w:val="nil"/>
            </w:tcBorders>
            <w:tcMar>
              <w:top w:w="180.0" w:type="dxa"/>
              <w:left w:w="180.0" w:type="dxa"/>
              <w:bottom w:w="180.0" w:type="dxa"/>
              <w:right w:w="180.0" w:type="dxa"/>
            </w:tcMar>
            <w:vAlign w:val="bottom"/>
          </w:tcPr>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Atelier Régional de Kédougou</w:t>
            </w:r>
          </w:p>
        </w:tc>
        <w:tc>
          <w:tcPr>
            <w:tcBorders>
              <w:top w:color="000000" w:space="0" w:sz="0" w:val="nil"/>
              <w:left w:color="000000" w:space="0" w:sz="0" w:val="nil"/>
              <w:bottom w:color="000000" w:space="0" w:sz="0" w:val="nil"/>
              <w:right w:color="000000" w:space="0" w:sz="0" w:val="nil"/>
            </w:tcBorders>
            <w:tcMar>
              <w:top w:w="180.0" w:type="dxa"/>
              <w:left w:w="180.0" w:type="dxa"/>
              <w:bottom w:w="180.0" w:type="dxa"/>
              <w:right w:w="180.0" w:type="dxa"/>
            </w:tcMar>
            <w:vAlign w:val="bottom"/>
          </w:tcPr>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Vendredi 30 Septembre 2022</w:t>
            </w:r>
          </w:p>
        </w:tc>
      </w:tr>
    </w:tbl>
    <w:p w:rsidR="00000000" w:rsidDel="00000000" w:rsidP="00000000" w:rsidRDefault="00000000" w:rsidRPr="00000000" w14:paraId="0000001C">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1D">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"https://www.ipar.sn/IMG/jpg/procasef_saintlouis_3.jpg"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F">
      <w:pPr>
        <w:shd w:fill="ffffff" w:val="clear"/>
        <w:rPr>
          <w:rFonts w:ascii="Times New Roman" w:cs="Times New Roman" w:eastAsia="Times New Roman" w:hAnsi="Times New Roman"/>
          <w:color w:val="52bdec"/>
        </w:rPr>
      </w:pPr>
      <w:hyperlink r:id="rId9">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3"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"https://www.ipar.sn/IMG/jpg/procasef_saintlouis_1.jpg" </w:instrText>
        <w:fldChar w:fldCharType="separate"/>
      </w:r>
      <w:r w:rsidDel="00000000" w:rsidR="00000000" w:rsidRPr="00000000">
        <w:rPr>
          <w:rtl w:val="0"/>
        </w:rPr>
      </w:r>
    </w:p>
    <w:p w:rsidR="00000000" w:rsidDel="00000000" w:rsidP="00000000" w:rsidRDefault="00000000" w:rsidRPr="00000000" w14:paraId="00000020">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1">
      <w:pPr>
        <w:shd w:fill="ffffff" w:val="clear"/>
        <w:rPr>
          <w:rFonts w:ascii="Times New Roman" w:cs="Times New Roman" w:eastAsia="Times New Roman" w:hAnsi="Times New Roman"/>
          <w:color w:val="52bdec"/>
        </w:rPr>
      </w:pPr>
      <w:hyperlink r:id="rId11">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"https://www.ipar.sn/IMG/jpg/procasef_saintlouis_2.jpg" </w:instrText>
        <w:fldChar w:fldCharType="separate"/>
      </w:r>
      <w:r w:rsidDel="00000000" w:rsidR="00000000" w:rsidRPr="00000000">
        <w:rPr>
          <w:rtl w:val="0"/>
        </w:rPr>
      </w:r>
    </w:p>
    <w:p w:rsidR="00000000" w:rsidDel="00000000" w:rsidP="00000000" w:rsidRDefault="00000000" w:rsidRPr="00000000" w14:paraId="00000022">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3">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4" name="image1.jpg"/>
            <a:graphic>
              <a:graphicData uri="http://schemas.openxmlformats.org/drawingml/2006/picture">
                <pic:pic>
                  <pic:nvPicPr>
                    <pic:cNvPr id="0" name="image1.jpg"/>
                    <pic:cNvPicPr preferRelativeResize="0"/>
                  </pic:nvPicPr>
                  <pic:blipFill>
                    <a:blip r:embed="rId13"/>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ipar.sn/IMG/jpg/procasef_saintlouis_2.jpg" TargetMode="External"/><Relationship Id="rId10" Type="http://schemas.openxmlformats.org/officeDocument/2006/relationships/image" Target="media/image2.jpg"/><Relationship Id="rId13" Type="http://schemas.openxmlformats.org/officeDocument/2006/relationships/image" Target="media/image1.jpg"/><Relationship Id="rId12"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IMG/jpg/procasef_saintlouis_1.jpg" TargetMode="External"/><Relationship Id="rId5" Type="http://schemas.openxmlformats.org/officeDocument/2006/relationships/styles" Target="styles.xml"/><Relationship Id="rId6" Type="http://schemas.openxmlformats.org/officeDocument/2006/relationships/hyperlink" Target="https://ida.banquemondiale.org/fr/ida" TargetMode="External"/><Relationship Id="rId7" Type="http://schemas.openxmlformats.org/officeDocument/2006/relationships/hyperlink" Target="http://www.finances.gouv.sn/" TargetMode="External"/><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