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inherit" w:cs="inherit" w:eastAsia="inherit" w:hAnsi="inherit"/>
          <w:b w:val="1"/>
          <w:color w:val="222222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Cadre d’Analyse de la Gouvernance Foncière au Sénégal (CAGF)</w:t>
      </w:r>
    </w:p>
    <w:p w:rsidR="00000000" w:rsidDel="00000000" w:rsidP="00000000" w:rsidRDefault="00000000" w:rsidRPr="00000000" w14:paraId="00000002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a08e15"/>
          <w:sz w:val="25"/>
          <w:szCs w:val="25"/>
        </w:rPr>
      </w:pPr>
      <w:r w:rsidDel="00000000" w:rsidR="00000000" w:rsidRPr="00000000">
        <w:rPr>
          <w:rFonts w:ascii="Source Sans Pro" w:cs="Source Sans Pro" w:eastAsia="Source Sans Pro" w:hAnsi="Source Sans Pro"/>
          <w:color w:val="a08e15"/>
          <w:sz w:val="25"/>
          <w:szCs w:val="25"/>
          <w:rtl w:val="0"/>
        </w:rPr>
        <w:t xml:space="preserve">Le Cadre d’analyse de la gouvernance foncière (CAGF) est un outil de diagnostic qui permet d’évaluer le statut de la gouvernance foncière d’un pays. Le CAGF est un processus participatif qui a démarré au Sénégal en octobre 2012 et qui se poursuivra jusqu’en juin 2013, avec l’organisation de l’atelier de restitution des résultats aux décideurs politiques.</w:t>
      </w:r>
    </w:p>
    <w:p w:rsidR="00000000" w:rsidDel="00000000" w:rsidP="00000000" w:rsidRDefault="00000000" w:rsidRPr="00000000" w14:paraId="00000003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L’outil s’appuie de manière systématique sur le savoir-faire local et sur des données existantes, plutôt que sur une expertise étrangère au pays.</w:t>
      </w:r>
    </w:p>
    <w:p w:rsidR="00000000" w:rsidDel="00000000" w:rsidP="00000000" w:rsidRDefault="00000000" w:rsidRPr="00000000" w14:paraId="00000004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Le CAGF donne une vision synoptique de certains thèmes qui ont jusque-là fait l’objet d’un traitement séparé. Le processus a permis d’établir un consensus sur les aspects clés de la gouvernance foncière et de définir des actions prioritaires concernant :(i) les données manquantes qui sont pourtant pertinentes pour améliorer la gouvernance foncière ; (ii) les domaines susceptibles de faire l’objet d’une réforme réglementaire ou institutionnelle, et les interventions visant à améliorer la gouvernance foncière à une plus grande échelle (par exemple en renforçant les droits fonciers et en améliorant leur application) ; et, (iii) les critères permettant d’évaluer l’efficacité de ces mesures. Le CAGF contribue également à mettre en place un processus permettant de suivre,à long terme et de manière systématique, les progrès accomplis dans l’amélioration de la gouvernance foncière.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inherit"/>
  <w:font w:name="Source Sans P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-S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